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伙伴及技能通用界面补充</w:t>
      </w:r>
    </w:p>
    <w:tbl>
      <w:tblPr>
        <w:tblStyle w:val="9"/>
        <w:tblpPr w:leftFromText="180" w:rightFromText="180" w:vertAnchor="page" w:horzAnchor="page" w:tblpX="1915" w:tblpY="19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主线分支</w:t>
            </w: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撰写者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编辑日期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3.1.1</w:t>
            </w: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1.0.0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何博文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2023.03.14</w:t>
            </w: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黑色：正文文本</w:t>
      </w:r>
    </w:p>
    <w:p>
      <w:pP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lang w:val="en-US" w:eastAsia="zh-CN"/>
        </w:rPr>
        <w:t>红色：着重文字</w:t>
      </w:r>
    </w:p>
    <w:p>
      <w:pPr>
        <w:rPr>
          <w:rFonts w:hint="eastAsia" w:ascii="宋体" w:hAnsi="宋体" w:eastAsia="宋体" w:cs="宋体"/>
          <w:b/>
          <w:bCs/>
          <w:color w:val="00B0F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F0"/>
          <w:sz w:val="18"/>
          <w:szCs w:val="18"/>
          <w:lang w:val="en-US" w:eastAsia="zh-CN"/>
        </w:rPr>
        <w:t>蓝色：配置表</w:t>
      </w:r>
    </w:p>
    <w:p>
      <w:pPr>
        <w:rPr>
          <w:rFonts w:hint="eastAsia" w:ascii="宋体" w:hAnsi="宋体" w:eastAsia="宋体" w:cs="宋体"/>
          <w:b/>
          <w:bCs/>
          <w:color w:val="00B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18"/>
          <w:szCs w:val="18"/>
          <w:lang w:val="en-US" w:eastAsia="zh-CN"/>
        </w:rPr>
        <w:t>绿色：图片说明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5592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kern w:val="2"/>
          <w:sz w:val="21"/>
          <w:szCs w:val="1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 w:val="18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 w:val="18"/>
              <w:szCs w:val="18"/>
              <w:lang w:val="en-US" w:eastAsia="zh-CN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sz w:val="18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instrText xml:space="preserve"> HYPERLINK \l _Toc19555 </w:instrTex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 xml:space="preserve">1. </w: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伙伴</w:t>
          </w:r>
          <w:r>
            <w:tab/>
          </w:r>
          <w:r>
            <w:fldChar w:fldCharType="begin"/>
          </w:r>
          <w:r>
            <w:instrText xml:space="preserve"> PAGEREF _Toc19555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instrText xml:space="preserve"> HYPERLINK \l _Toc23244 </w:instrTex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1.1英雄道具显示</w:t>
          </w:r>
          <w:r>
            <w:tab/>
          </w:r>
          <w:r>
            <w:fldChar w:fldCharType="begin"/>
          </w:r>
          <w:r>
            <w:instrText xml:space="preserve"> PAGEREF _Toc23244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instrText xml:space="preserve"> HYPERLINK \l _Toc21187 </w:instrTex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1.2完整的英雄获得</w:t>
          </w:r>
          <w:r>
            <w:tab/>
          </w:r>
          <w:r>
            <w:fldChar w:fldCharType="begin"/>
          </w:r>
          <w:r>
            <w:instrText xml:space="preserve"> PAGEREF _Toc21187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instrText xml:space="preserve"> HYPERLINK \l _Toc23420 </w:instrTex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1.3查看其他玩家的英雄</w:t>
          </w:r>
          <w:r>
            <w:tab/>
          </w:r>
          <w:r>
            <w:fldChar w:fldCharType="begin"/>
          </w:r>
          <w:r>
            <w:instrText xml:space="preserve"> PAGEREF _Toc23420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instrText xml:space="preserve"> HYPERLINK \l _Toc8424 </w:instrTex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2. 技能</w:t>
          </w:r>
          <w:r>
            <w:tab/>
          </w:r>
          <w:r>
            <w:fldChar w:fldCharType="begin"/>
          </w:r>
          <w:r>
            <w:instrText xml:space="preserve"> PAGEREF _Toc8424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instrText xml:space="preserve"> HYPERLINK \l _Toc23948 </w:instrTex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2.1伙伴、僚机技能显示</w:t>
          </w:r>
          <w:r>
            <w:tab/>
          </w:r>
          <w:r>
            <w:fldChar w:fldCharType="begin"/>
          </w:r>
          <w:r>
            <w:instrText xml:space="preserve"> PAGEREF _Toc23948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instrText xml:space="preserve"> HYPERLINK \l _Toc15825 </w:instrText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t>2.2道具技能显示</w:t>
          </w:r>
          <w:r>
            <w:tab/>
          </w:r>
          <w:r>
            <w:fldChar w:fldCharType="begin"/>
          </w:r>
          <w:r>
            <w:instrText xml:space="preserve"> PAGEREF _Toc15825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  <w:p>
          <w:pPr>
            <w:rPr>
              <w:rFonts w:hint="eastAsia" w:ascii="宋体" w:hAnsi="宋体" w:eastAsia="宋体" w:cs="宋体"/>
              <w:sz w:val="18"/>
              <w:szCs w:val="18"/>
              <w:lang w:val="en-US" w:eastAsia="zh-CN"/>
            </w:rPr>
          </w:pPr>
          <w:r>
            <w:rPr>
              <w:rFonts w:hint="eastAsia" w:ascii="宋体" w:hAnsi="宋体" w:eastAsia="宋体" w:cs="宋体"/>
              <w:szCs w:val="18"/>
              <w:lang w:val="en-US" w:eastAsia="zh-CN"/>
            </w:rPr>
            <w:fldChar w:fldCharType="end"/>
          </w:r>
        </w:p>
      </w:sdtContent>
    </w:sdt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0" w:name="_Toc19555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伙伴</w:t>
      </w:r>
      <w:bookmarkEnd w:id="0"/>
    </w:p>
    <w:p>
      <w:pPr>
        <w:pStyle w:val="3"/>
        <w:bidi w:val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1" w:name="_Toc23244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1.1英雄道具显示</w:t>
      </w:r>
      <w:bookmarkEnd w:id="1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伙伴相关界面基础逻辑分为两类，在礼包、副本、活动等使用场景中作为</w:t>
      </w:r>
      <w:r>
        <w:rPr>
          <w:rFonts w:hint="eastAsia" w:ascii="宋体" w:hAnsi="宋体" w:eastAsia="宋体" w:cs="宋体"/>
          <w:color w:val="FFFFFF" w:themeColor="background1"/>
          <w:sz w:val="18"/>
          <w:szCs w:val="18"/>
          <w:highlight w:val="red"/>
          <w:lang w:val="en-US" w:eastAsia="zh-CN"/>
          <w14:textFill>
            <w14:solidFill>
              <w14:schemeClr w14:val="bg1"/>
            </w14:solidFill>
          </w14:textFill>
        </w:rPr>
        <w:t>英雄道具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显示用的情况，是一个简单版的伙伴情况预览。例如，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inline distT="0" distB="0" distL="114300" distR="114300">
            <wp:extent cx="2178685" cy="1812925"/>
            <wp:effectExtent l="0" t="0" r="12065" b="158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  <w:t>——伙伴道具预览</w:t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inline distT="0" distB="0" distL="114300" distR="114300">
            <wp:extent cx="2195195" cy="3478530"/>
            <wp:effectExtent l="0" t="0" r="146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  <w:t>——伙伴道具示意图</w:t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此时读取的数据是</w:t>
      </w:r>
      <w:r>
        <w:rPr>
          <w:rFonts w:hint="eastAsia" w:ascii="宋体" w:hAnsi="宋体" w:eastAsia="宋体" w:cs="宋体"/>
          <w:color w:val="00B0F0"/>
          <w:sz w:val="18"/>
          <w:szCs w:val="18"/>
          <w:lang w:val="en-US" w:eastAsia="zh-CN"/>
        </w:rPr>
        <w:t>item_data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!是个道具！</w:t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pStyle w:val="3"/>
        <w:bidi w:val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2" w:name="_Toc21187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1.2完整的英雄获得</w:t>
      </w:r>
      <w:bookmarkEnd w:id="2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区别碎片获得，碎片获得是通用的道具获得界面，英雄获得是展示完整立绘的全屏界面。如下图：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drawing>
          <wp:inline distT="0" distB="0" distL="114300" distR="114300">
            <wp:extent cx="5267325" cy="2922270"/>
            <wp:effectExtent l="0" t="0" r="9525" b="1143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  <w:t>——伙伴获得全屏界面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显示该角色满级满星满阶状态，没有任何可操作的按键。装备槽位全部空缺，此处只有技能可点击预览。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点击收起角色小传介绍。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点击其他区域退出该全屏界面。此时读取的数据是</w:t>
      </w:r>
      <w:r>
        <w:rPr>
          <w:rFonts w:hint="eastAsia" w:ascii="宋体" w:hAnsi="宋体" w:eastAsia="宋体" w:cs="宋体"/>
          <w:b/>
          <w:bCs/>
          <w:color w:val="00B0F0"/>
          <w:sz w:val="18"/>
          <w:szCs w:val="18"/>
          <w:lang w:val="en-US" w:eastAsia="zh-CN"/>
        </w:rPr>
        <w:t>partner_data！</w:t>
      </w:r>
    </w:p>
    <w:p>
      <w:pPr>
        <w:pStyle w:val="3"/>
        <w:bidi w:val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3" w:name="_Toc23420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1.3查看其他玩家的英雄</w:t>
      </w:r>
      <w:bookmarkEnd w:id="3"/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在排行榜、世界聊天频道等场景，查看其他用户，弹出基本的英雄阵容界面。</w:t>
      </w:r>
    </w:p>
    <w:p>
      <w:pPr>
        <w:numPr>
          <w:ilvl w:val="0"/>
          <w:numId w:val="0"/>
        </w:numPr>
        <w:bidi w:val="0"/>
        <w:jc w:val="left"/>
      </w:pPr>
      <w:r>
        <w:drawing>
          <wp:inline distT="0" distB="0" distL="114300" distR="114300">
            <wp:extent cx="3385185" cy="2085340"/>
            <wp:effectExtent l="0" t="0" r="5715" b="1016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  <w:t>——其他玩家查看界面</w:t>
      </w: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此时点击某一个伙伴后显示该英雄详情，如下图，注意此时不弹全屏界面，只弹出右半边，和英雄详情的区别在于，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读取该英雄现有数据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bidi w:val="0"/>
        <w:jc w:val="left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1764665" cy="3926840"/>
            <wp:effectExtent l="0" t="0" r="6985" b="165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  <w:t>——其他玩家伙伴详情界面</w:t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 w:ascii="宋体" w:hAnsi="宋体" w:eastAsia="宋体" w:cs="宋体"/>
          <w:b/>
          <w:sz w:val="18"/>
          <w:szCs w:val="18"/>
          <w:lang w:val="en-US" w:eastAsia="zh-CN"/>
        </w:rPr>
      </w:pPr>
      <w:bookmarkStart w:id="4" w:name="_Toc8424"/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>技能</w:t>
      </w:r>
      <w:bookmarkEnd w:id="4"/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目前游戏内技能显示有两种，伙伴本身的技能和道具技能符石上的技能。</w:t>
      </w:r>
    </w:p>
    <w:p>
      <w:pPr>
        <w:pStyle w:val="3"/>
        <w:bidi w:val="0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bookmarkStart w:id="5" w:name="_Toc23948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2.1伙伴、僚机技能显示</w:t>
      </w:r>
      <w:bookmarkEnd w:id="5"/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点击自身伙伴和其他用户伙伴、僚机技能时使用通用的技能显示界面模板，如下图所示。</w:t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该界面文本内容会很长，如果超出原设计尺寸，默认收起，再次点击</w:t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4051935" cy="5771515"/>
            <wp:effectExtent l="0" t="0" r="5715" b="63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577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  <w:t>——伙伴技能详情界面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pStyle w:val="3"/>
        <w:bidi w:val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6" w:name="_Toc15825"/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2.2道具技能显示</w:t>
      </w:r>
      <w:bookmarkEnd w:id="6"/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主要技能核心与技能模组附加的被动技能，对应一个简化面板显示，如下图。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7" w:name="_GoBack"/>
      <w:r>
        <w:drawing>
          <wp:inline distT="0" distB="0" distL="114300" distR="114300">
            <wp:extent cx="1784350" cy="2372360"/>
            <wp:effectExtent l="0" t="0" r="6350" b="889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numPr>
          <w:ilvl w:val="0"/>
          <w:numId w:val="0"/>
        </w:numPr>
        <w:bidi w:val="0"/>
        <w:jc w:val="right"/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92D050"/>
          <w:sz w:val="18"/>
          <w:szCs w:val="18"/>
          <w:lang w:val="en-US" w:eastAsia="zh-CN"/>
        </w:rPr>
        <w:t>——道具技能详情界面</w:t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7B44E"/>
    <w:multiLevelType w:val="singleLevel"/>
    <w:tmpl w:val="E3F7B4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ZjlmMzI0ZDczZDBiZjEwYzY0MGYzZWNiMGQ0MjcifQ=="/>
  </w:docVars>
  <w:rsids>
    <w:rsidRoot w:val="21F132AE"/>
    <w:rsid w:val="041F054D"/>
    <w:rsid w:val="084F2DCB"/>
    <w:rsid w:val="0B815024"/>
    <w:rsid w:val="21F132AE"/>
    <w:rsid w:val="27163E13"/>
    <w:rsid w:val="394E2DAB"/>
    <w:rsid w:val="5B6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2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637</Words>
  <Characters>696</Characters>
  <Lines>0</Lines>
  <Paragraphs>0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2023-03-14T09:14:00Z</dcterms:created>
  <dc:creator>抖抖</dc:creator>
  <cp:lastModifiedBy>抖抖</cp:lastModifiedBy>
  <dcterms:modified xsi:type="dcterms:W3CDTF">2023-03-15T06:26:51Z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28987ACDD12E43B397212F14BEFF887B</vt:lpwstr>
  </property>
</Properties>
</file>